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IPad poleasingowy mobilnym komputerem do codziennej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można zetknąć się z sytuacją, gdy rozpatrywane są iPady w formie urządzeń do biznesowych obowiązków. W porównaniu z komputerem stacjonarnym czy laptopem wygrywają w zakresie mobilności. Ponadto wybierając nawet iPad poleasingowy możemy liczyć na bardzo wydajne urządzenie pełne funkcjonalności.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poparta wieloletnim doświadczeniem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IPad poleasingowy</w:t>
      </w:r>
      <w:r>
        <w:rPr>
          <w:rFonts w:ascii="calibri" w:hAnsi="calibri" w:eastAsia="calibri" w:cs="calibri"/>
          <w:sz w:val="24"/>
          <w:szCs w:val="24"/>
        </w:rPr>
        <w:t xml:space="preserve"> to propozycja skierowana w głównej mierze do osób, które oczekują wysokiej jakości sprzętu lecz nie chcą na niego przeznaczać dużej kwoty. W takich sytuacjach wybór urządzenia z tzw. drugiej ręki to korzystne rozwiązanie, które może przynieść sporo korzyści przez kolejne lata użytkowania tabletu. Firma Apple niejednokrotnie potwierdzała, że ich urządzenia są bardzo konkurencyjne w stosunku do pozostałych technologicznych gigantów. Dlatego też 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iPad poleasingowy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wciąż możemy korzystać z profesjonalnego sprzętu.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IPad poleasingowy posiada szeroki zakres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wspomniany krok warto najpierw określić swoje oczekiwania względem wymarzonego sprzętu. Z pewnością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iPad poleasingowy</w:t>
      </w:r>
      <w:r>
        <w:rPr>
          <w:rFonts w:ascii="calibri" w:hAnsi="calibri" w:eastAsia="calibri" w:cs="calibri"/>
          <w:sz w:val="24"/>
          <w:szCs w:val="24"/>
        </w:rPr>
        <w:t xml:space="preserve"> zachwyci użytkowników uwielbiających surfowanie po Internecie, oglądanie seriali, czy też korzystanie z mediów społecznościowych. Niemniej jednak to także doskonała opcja w przypadku osób szukających odpowiednika komputera podczas codziennej pracy, wykonywania obowiązków, a także w czasie wolnym przeznaczonym na rozrywkę. Opisywane urządzenie jak i pozostały sprzęt od Apple można nabyć w atrakcyjnych cenach w sklepie Komputery Markowe.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28-ipa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2026-09-01T08:41:07+02:00</dcterms:created>
  <dcterms:modified xsi:type="dcterms:W3CDTF">2026-09-01T08:41:07+02:00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